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sz w:val="22"/>
          <w:szCs w:val="22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</w:r>
    </w:p>
    <w:p>
      <w:pPr>
        <w:pStyle w:val="Normal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sz w:val="22"/>
          <w:szCs w:val="22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</w:r>
    </w:p>
    <w:p>
      <w:pPr>
        <w:pStyle w:val="Normal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sz w:val="22"/>
          <w:szCs w:val="22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</w:r>
    </w:p>
    <w:p>
      <w:pPr>
        <w:pStyle w:val="Normal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sz w:val="22"/>
          <w:szCs w:val="22"/>
          <w:lang w:eastAsia="pt-BR"/>
        </w:rPr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2358390</wp:posOffset>
            </wp:positionH>
            <wp:positionV relativeFrom="paragraph">
              <wp:posOffset>-728345</wp:posOffset>
            </wp:positionV>
            <wp:extent cx="657225" cy="695325"/>
            <wp:effectExtent l="0" t="0" r="0" b="0"/>
            <wp:wrapNone/>
            <wp:docPr id="1" name="Imagem 3" descr="C:\Users\Almox\Pictures\Brasã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3" descr="C:\Users\Almox\Pictures\Brasão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  <w:t>HOSPITAL MILITAR DE ÁREA DE SÃO PAULO</w:t>
      </w:r>
    </w:p>
    <w:p>
      <w:pPr>
        <w:pStyle w:val="Ttulo5"/>
        <w:keepLines w:val="false"/>
        <w:numPr>
          <w:ilvl w:val="4"/>
          <w:numId w:val="3"/>
        </w:numPr>
        <w:spacing w:before="0" w:after="0"/>
        <w:ind w:left="0" w:hanging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cs="Times New Roman" w:ascii="Times New Roman" w:hAnsi="Times New Roman"/>
          <w:color w:val="auto"/>
          <w:sz w:val="22"/>
          <w:szCs w:val="22"/>
        </w:rPr>
        <w:t>(Hospital Militar de 3ª Classe de São Paulo/1890)</w:t>
      </w:r>
    </w:p>
    <w:p>
      <w:pPr>
        <w:pStyle w:val="Normal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sz w:val="22"/>
          <w:szCs w:val="22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</w:r>
    </w:p>
    <w:p>
      <w:pPr>
        <w:pStyle w:val="Normal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color w:val="FF0000"/>
          <w:sz w:val="22"/>
          <w:szCs w:val="22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  <w:t xml:space="preserve">PROCESSO DE DISPENSA DE LICITAÇÂO </w:t>
      </w:r>
      <w:r>
        <w:rPr>
          <w:rFonts w:eastAsia="Times New Roman" w:cs="Times New Roman" w:ascii="Times New Roman" w:hAnsi="Times New Roman"/>
          <w:b/>
          <w:bCs/>
          <w:sz w:val="22"/>
          <w:szCs w:val="22"/>
          <w:shd w:fill="FFFF00" w:val="clear"/>
          <w:lang w:eastAsia="pt-BR"/>
        </w:rPr>
        <w:t>xxxx</w:t>
      </w: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  <w:t>/2024</w:t>
      </w:r>
    </w:p>
    <w:p>
      <w:pPr>
        <w:pStyle w:val="Normal"/>
        <w:textAlignment w:val="baseline"/>
        <w:rPr>
          <w:rFonts w:ascii="Times New Roman" w:hAnsi="Times New Roman" w:eastAsia="Times New Roman" w:cs="Times New Roman"/>
          <w:b/>
          <w:b/>
          <w:bCs/>
          <w:color w:val="FF0000"/>
          <w:sz w:val="22"/>
          <w:szCs w:val="22"/>
          <w:lang w:eastAsia="pt-BR"/>
        </w:rPr>
      </w:pPr>
      <w:r>
        <w:rPr>
          <w:rFonts w:eastAsia="Times New Roman" w:cs="Times New Roman" w:ascii="Times New Roman" w:hAnsi="Times New Roman"/>
          <w:b/>
          <w:bCs/>
          <w:color w:val="FF0000"/>
          <w:sz w:val="22"/>
          <w:szCs w:val="22"/>
          <w:lang w:eastAsia="pt-BR"/>
        </w:rPr>
      </w:r>
    </w:p>
    <w:p>
      <w:pPr>
        <w:pStyle w:val="Normal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sz w:val="22"/>
          <w:szCs w:val="22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  <w:t>(Processo A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  <w:t xml:space="preserve">dministrativo nº </w:t>
      </w:r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color w:val="auto"/>
          <w:spacing w:val="0"/>
          <w:kern w:val="0"/>
          <w:sz w:val="22"/>
          <w:szCs w:val="22"/>
          <w:lang w:val="pt-BR" w:eastAsia="pt-BR" w:bidi="hi-IN"/>
        </w:rPr>
        <w:t>64584.006551/2024-21</w:t>
      </w: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2"/>
          <w:szCs w:val="22"/>
          <w:lang w:val="pt-BR" w:eastAsia="pt-BR" w:bidi="hi-IN"/>
        </w:rPr>
        <w:t>)</w:t>
      </w:r>
    </w:p>
    <w:p>
      <w:pPr>
        <w:pStyle w:val="Normal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sz w:val="22"/>
          <w:szCs w:val="22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</w:r>
    </w:p>
    <w:p>
      <w:pPr>
        <w:pStyle w:val="Normal"/>
        <w:jc w:val="center"/>
        <w:textAlignment w:val="baseline"/>
        <w:rPr>
          <w:rFonts w:ascii="Times New Roman" w:hAnsi="Times New Roman" w:eastAsia="Times New Roman" w:cs="Times New Roman"/>
          <w:b/>
          <w:b/>
          <w:bCs/>
          <w:sz w:val="22"/>
          <w:szCs w:val="22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t-BR"/>
        </w:rPr>
        <w:t>GERENCIAMENTO DE RISCOS (MAPA DE RISCOS)</w:t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Assim como toda contratação, vislumbram-se alguns riscos em curso na presente contratação. Não se incluem, neste mapa de riscos, aqueles voltados à gestão do contrato e execução dos serviços, mas apenas os que tangem o processo que permeia as fases de planejamento até a formalização da contratação.</w:t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Entende-se por ação preventiva, ações a serem tomadas, com base no desenho do mapa de riscos, de forma a prevenir a ocorrência dos riscos. Ações de contingência, no entanto, são ações a serem tomadas na ocasião em que os danos começarem a ocorrer com a materialização dos riscos previstos.</w:t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9075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05"/>
        <w:gridCol w:w="2455"/>
        <w:gridCol w:w="668"/>
        <w:gridCol w:w="1791"/>
        <w:gridCol w:w="2455"/>
      </w:tblGrid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99999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b/>
                <w:b/>
                <w:bCs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Fase da Análise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bCs/>
                <w:sz w:val="22"/>
              </w:rPr>
            </w:pPr>
            <w:r>
              <w:rPr>
                <w:rFonts w:eastAsia="Arial Unicode MS" w:cs="Times New Roman" w:ascii="Times New Roman" w:hAnsi="Times New Roman"/>
                <w:bCs/>
                <w:sz w:val="22"/>
                <w:szCs w:val="22"/>
              </w:rPr>
              <w:t>(  X  ) Planejamento da Contratação e Seleção do Fornecedor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bCs/>
                <w:sz w:val="22"/>
              </w:rPr>
            </w:pPr>
            <w:r>
              <w:rPr>
                <w:rFonts w:eastAsia="Arial Unicode MS" w:cs="Times New Roman" w:ascii="Times New Roman" w:hAnsi="Times New Roman"/>
                <w:bCs/>
                <w:sz w:val="22"/>
                <w:szCs w:val="22"/>
              </w:rPr>
              <w:t>(    ) Gestão do Contrato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99999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Risco 01 – Não haver disponibilidade orçamentária</w:t>
            </w:r>
          </w:p>
        </w:tc>
      </w:tr>
      <w:tr>
        <w:trPr>
          <w:trHeight w:val="283" w:hRule="atLeast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Probabilidade: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Baixa (  X )</w:t>
            </w:r>
          </w:p>
        </w:tc>
        <w:tc>
          <w:tcPr>
            <w:tcW w:w="2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Média (    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Alta (    )</w:t>
            </w:r>
          </w:p>
        </w:tc>
      </w:tr>
      <w:tr>
        <w:trPr>
          <w:trHeight w:val="283" w:hRule="atLeast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Impacto: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Baixo (    )</w:t>
            </w:r>
          </w:p>
        </w:tc>
        <w:tc>
          <w:tcPr>
            <w:tcW w:w="2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Médio (    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Alto ( X )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Dano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before="0" w:after="120"/>
              <w:ind w:left="340" w:right="170" w:hanging="0"/>
              <w:rPr>
                <w:rFonts w:cs="Times New Roman"/>
                <w:sz w:val="22"/>
                <w:lang w:bidi="hi-IN"/>
              </w:rPr>
            </w:pPr>
            <w:r>
              <w:rPr>
                <w:rFonts w:cs="Times New Roman"/>
                <w:sz w:val="22"/>
                <w:szCs w:val="22"/>
                <w:lang w:bidi="hi-IN"/>
              </w:rPr>
              <w:t>Se a instalação de redes de segurança nos andares de internação não for realizada, tal omissão poderá ser interpretada como um ato de negligência por parte dos administradores, pois favorece potencialmente o risco de quedas e acidentes dentro das instalações hospitalares.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Responsável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328" w:right="285" w:hanging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Prever orçamento para a aquisição.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Ordenador de Despesas/ Fiscal Administrativo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Responsável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328" w:right="285" w:hanging="0"/>
              <w:jc w:val="both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Desenvolver e treinar equipes para responder rapidamente a situações de emergência, incluindo quedas e acidentes, com protocolos claros de comunicação e ação.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Chefia das Unidades de internação</w:t>
            </w:r>
          </w:p>
          <w:p>
            <w:pPr>
              <w:pStyle w:val="Contedodatabela"/>
              <w:widowControl w:val="false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sectPr>
          <w:type w:val="nextPage"/>
          <w:pgSz w:w="11906" w:h="16838"/>
          <w:pgMar w:left="1701" w:right="1701" w:gutter="0" w:header="0" w:top="1417" w:footer="0" w:bottom="1417"/>
          <w:pgNumType w:fmt="decimal"/>
          <w:formProt w:val="false"/>
          <w:textDirection w:val="lrTb"/>
          <w:docGrid w:type="default" w:linePitch="312" w:charSpace="5734"/>
        </w:sectPr>
      </w:pPr>
    </w:p>
    <w:tbl>
      <w:tblPr>
        <w:tblW w:w="9075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05"/>
        <w:gridCol w:w="2455"/>
        <w:gridCol w:w="668"/>
        <w:gridCol w:w="1791"/>
        <w:gridCol w:w="2455"/>
      </w:tblGrid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99999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Risco 02 – Especificação insuficiente para os serviços</w:t>
            </w:r>
          </w:p>
        </w:tc>
      </w:tr>
      <w:tr>
        <w:trPr>
          <w:trHeight w:val="283" w:hRule="atLeast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Probabilidade: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Baixa (X)</w:t>
            </w:r>
          </w:p>
        </w:tc>
        <w:tc>
          <w:tcPr>
            <w:tcW w:w="2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Média ( X 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Alta (    )</w:t>
            </w:r>
          </w:p>
        </w:tc>
      </w:tr>
      <w:tr>
        <w:trPr>
          <w:trHeight w:val="283" w:hRule="atLeast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Impacto: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Baixo (    )</w:t>
            </w:r>
          </w:p>
        </w:tc>
        <w:tc>
          <w:tcPr>
            <w:tcW w:w="2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Médio (X)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Alto (X)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Dano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328" w:right="136" w:hanging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Serviços sendo prestados de forma que não abrange todas as necessidades institucionais.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Responsável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231" w:right="235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Revisão de cada cláusula de obrigações da contratada e forma de prestação do serviço.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235" w:firstLine="222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Fiscal de Contrato.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Responsável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231" w:right="235" w:hanging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Estudar o grau de insuficiência, refletir sobre a vantajosidade na rescisão contratual e abertura de novo processo licitatório.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231" w:right="229" w:hanging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 xml:space="preserve">Equipe de Fiscalização / 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Equipe de Planejamento da Contratação.</w:t>
            </w:r>
          </w:p>
        </w:tc>
      </w:tr>
    </w:tbl>
    <w:p>
      <w:pPr>
        <w:pStyle w:val="Normal"/>
        <w:spacing w:lineRule="auto" w:line="36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9075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05"/>
        <w:gridCol w:w="2455"/>
        <w:gridCol w:w="668"/>
        <w:gridCol w:w="1791"/>
        <w:gridCol w:w="2455"/>
      </w:tblGrid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99999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Risco 03 – Atraso na conclusão da licitação</w:t>
            </w:r>
          </w:p>
        </w:tc>
      </w:tr>
      <w:tr>
        <w:trPr>
          <w:trHeight w:val="283" w:hRule="atLeast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Probabilidade: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Baixa (    )</w:t>
            </w:r>
          </w:p>
        </w:tc>
        <w:tc>
          <w:tcPr>
            <w:tcW w:w="2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Média (  X  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Alta (X)</w:t>
            </w:r>
          </w:p>
        </w:tc>
      </w:tr>
      <w:tr>
        <w:trPr>
          <w:trHeight w:val="283" w:hRule="atLeast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Impacto: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Baixo (    )</w:t>
            </w:r>
          </w:p>
        </w:tc>
        <w:tc>
          <w:tcPr>
            <w:tcW w:w="2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Médio (  X  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Alto (X)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Dano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328" w:right="136" w:hanging="0"/>
              <w:jc w:val="both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Não atendimento à demanda no prazo necessário, poderá acarretar na ocorrência de acidentes que envolva queda de grandes altitudes.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Responsável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328" w:right="285" w:hanging="0"/>
              <w:jc w:val="both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Estabelecimento de condições e exigências que permitam a ampla participação de fornecedores. Ampla divulgação do edital.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color w:val="FF0000"/>
                <w:sz w:val="22"/>
                <w:u w:val="single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Equipe de Planejamento da Contratação / Ch do Setor de Licitações e Contratos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Responsável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328" w:right="285" w:hanging="0"/>
              <w:jc w:val="both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Fazer gestão de leitos para que pacientes com risco de queda e/ou que apresente situação psicológica desfavorável para a circulação em ambientes de altitude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Chefia das respectivas Unidades de Internação</w:t>
            </w:r>
          </w:p>
          <w:p>
            <w:pPr>
              <w:pStyle w:val="Contedodatabela"/>
              <w:widowControl w:val="false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cs="Times New Roman" w:ascii="Times New Roman" w:hAnsi="Times New Roman"/>
                <w:color w:val="FF0000"/>
                <w:sz w:val="22"/>
              </w:rPr>
            </w:r>
          </w:p>
        </w:tc>
      </w:tr>
    </w:tbl>
    <w:p>
      <w:pPr>
        <w:pStyle w:val="Normal"/>
        <w:spacing w:lineRule="auto" w:line="36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9075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05"/>
        <w:gridCol w:w="2455"/>
        <w:gridCol w:w="668"/>
        <w:gridCol w:w="1791"/>
        <w:gridCol w:w="2455"/>
      </w:tblGrid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99999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Risco 04 – Recursos administrativos procedentes</w:t>
            </w:r>
          </w:p>
        </w:tc>
      </w:tr>
      <w:tr>
        <w:trPr>
          <w:trHeight w:val="283" w:hRule="atLeast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Probabilidade: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Baixa (    )</w:t>
            </w:r>
          </w:p>
        </w:tc>
        <w:tc>
          <w:tcPr>
            <w:tcW w:w="2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Média (  X  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Alta (    )</w:t>
            </w:r>
          </w:p>
        </w:tc>
      </w:tr>
      <w:tr>
        <w:trPr>
          <w:trHeight w:val="283" w:hRule="atLeast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Impacto: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Baixo (    )</w:t>
            </w:r>
          </w:p>
        </w:tc>
        <w:tc>
          <w:tcPr>
            <w:tcW w:w="2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Médio (  X  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Alto (    )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Dano</w:t>
            </w:r>
          </w:p>
        </w:tc>
      </w:tr>
      <w:tr>
        <w:trPr>
          <w:trHeight w:val="283" w:hRule="atLeast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328" w:right="136" w:hanging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 xml:space="preserve">Não atendimento à demanda no prazo necessário, poderá </w:t>
            </w:r>
            <w:r>
              <w:rPr>
                <w:rFonts w:eastAsia="Arial Unicode MS" w:cs="Times New Roman" w:ascii="Times New Roman" w:hAnsi="Times New Roman"/>
                <w:kern w:val="2"/>
                <w:sz w:val="22"/>
                <w:szCs w:val="22"/>
              </w:rPr>
              <w:t>favorece potencialmente o aumentando do risco de quedas e acidentes dentro das instalações hospitalares.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Responsável</w:t>
            </w:r>
          </w:p>
        </w:tc>
      </w:tr>
      <w:tr>
        <w:trPr>
          <w:trHeight w:val="283" w:hRule="atLeas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328" w:right="285" w:hanging="0"/>
              <w:jc w:val="both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Estabelecer um cronograma com prazo suficiente para a conclusão do processo.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color w:val="FF0000"/>
                <w:sz w:val="22"/>
                <w:u w:val="single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Áreas técnicas de análise de propostas.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9075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28"/>
        <w:gridCol w:w="4246"/>
      </w:tblGrid>
      <w:tr>
        <w:trPr>
          <w:trHeight w:val="283" w:hRule="atLeast"/>
        </w:trPr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Responsável</w:t>
            </w:r>
          </w:p>
        </w:tc>
      </w:tr>
      <w:tr>
        <w:trPr>
          <w:trHeight w:val="283" w:hRule="atLeast"/>
        </w:trPr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328" w:right="285" w:hanging="0"/>
              <w:jc w:val="both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Análise junto ao pregoeiro quanto aos novos prazos estimados da contratação e verificação de estratégias paralelas, entre elas, a contratação direta.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Equipe de Planejamento</w:t>
            </w:r>
          </w:p>
        </w:tc>
      </w:tr>
    </w:tbl>
    <w:p>
      <w:pPr>
        <w:pStyle w:val="Ttulo1"/>
        <w:ind w:left="567" w:hanging="567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Mapa de Riscos</w:t>
      </w:r>
    </w:p>
    <w:tbl>
      <w:tblPr>
        <w:tblW w:w="5897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6"/>
        <w:gridCol w:w="397"/>
        <w:gridCol w:w="1702"/>
        <w:gridCol w:w="1700"/>
        <w:gridCol w:w="1702"/>
      </w:tblGrid>
      <w:tr>
        <w:trPr>
          <w:trHeight w:val="1371" w:hRule="atLeast"/>
          <w:cantSplit w:val="true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textDirection w:val="btL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PROBABILIDADE DE OCORRÊNCIA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textDirection w:val="btL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Alta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450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E181E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color w:val="FF0000"/>
                <w:sz w:val="22"/>
              </w:rPr>
            </w:pPr>
            <w:r>
              <w:rPr>
                <w:rFonts w:eastAsia="Arial Unicode MS" w:cs="Times New Roman" w:ascii="Times New Roman" w:hAnsi="Times New Roman"/>
                <w:color w:val="FF0000"/>
                <w:sz w:val="22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E181E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>
          <w:trHeight w:val="1293" w:hRule="atLeast"/>
        </w:trPr>
        <w:tc>
          <w:tcPr>
            <w:tcW w:w="3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textDirection w:val="btL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Média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72BF44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450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Risco 01</w:t>
            </w:r>
          </w:p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Risco 02</w:t>
            </w:r>
          </w:p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Risco 03</w:t>
            </w:r>
          </w:p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Risco 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E181E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color w:val="FF0000"/>
                <w:sz w:val="22"/>
              </w:rPr>
            </w:pPr>
            <w:r>
              <w:rPr>
                <w:rFonts w:eastAsia="Arial Unicode MS" w:cs="Times New Roman" w:ascii="Times New Roman" w:hAnsi="Times New Roman"/>
                <w:color w:val="FF0000"/>
                <w:sz w:val="22"/>
              </w:rPr>
            </w:r>
          </w:p>
        </w:tc>
      </w:tr>
      <w:tr>
        <w:trPr>
          <w:trHeight w:val="1298" w:hRule="atLeast"/>
        </w:trPr>
        <w:tc>
          <w:tcPr>
            <w:tcW w:w="3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textDirection w:val="btL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Baixa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72BF44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color w:val="FF0000"/>
                <w:sz w:val="22"/>
              </w:rPr>
            </w:pPr>
            <w:r>
              <w:rPr>
                <w:rFonts w:eastAsia="Arial Unicode MS" w:cs="Times New Roman" w:ascii="Times New Roman" w:hAnsi="Times New Roman"/>
                <w:color w:val="FF0000"/>
                <w:sz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72BF44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color w:val="FF0000"/>
                <w:sz w:val="22"/>
              </w:rPr>
            </w:pPr>
            <w:r>
              <w:rPr>
                <w:rFonts w:eastAsia="Arial Unicode MS" w:cs="Times New Roman" w:ascii="Times New Roman" w:hAnsi="Times New Roman"/>
                <w:color w:val="FF0000"/>
                <w:sz w:val="22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450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>
          <w:trHeight w:val="227" w:hRule="atLeast"/>
          <w:cantSplit w:val="true"/>
        </w:trPr>
        <w:tc>
          <w:tcPr>
            <w:tcW w:w="793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b/>
                <w:b/>
                <w:bCs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Baixa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Média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sz w:val="22"/>
                <w:szCs w:val="22"/>
              </w:rPr>
              <w:t>Alta</w:t>
            </w:r>
          </w:p>
        </w:tc>
      </w:tr>
      <w:tr>
        <w:trPr>
          <w:trHeight w:val="227" w:hRule="atLeast"/>
          <w:cantSplit w:val="true"/>
        </w:trPr>
        <w:tc>
          <w:tcPr>
            <w:tcW w:w="793" w:type="dxa"/>
            <w:gridSpan w:val="2"/>
            <w:vMerge w:val="continue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b/>
                <w:b/>
                <w:bCs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</w:rPr>
            </w:r>
          </w:p>
        </w:tc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center"/>
          </w:tcPr>
          <w:p>
            <w:pPr>
              <w:pStyle w:val="Contedodatabela"/>
              <w:widowControl w:val="false"/>
              <w:rPr>
                <w:rFonts w:ascii="Times New Roman" w:hAnsi="Times New Roman" w:eastAsia="Arial Unicode MS" w:cs="Times New Roman"/>
                <w:sz w:val="22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sz w:val="22"/>
                <w:szCs w:val="22"/>
              </w:rPr>
              <w:t>GRAVIDADE DO IMPACTO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São Paulo – SP, 05 fevereiro de 2023.</w:t>
      </w:r>
    </w:p>
    <w:p>
      <w:pPr>
        <w:pStyle w:val="Normal"/>
        <w:spacing w:lineRule="auto" w:line="36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ind w:left="567" w:hanging="567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Membros da equipe de Planejamento e Fiscalização da Contratação:</w:t>
      </w:r>
    </w:p>
    <w:p>
      <w:pPr>
        <w:pStyle w:val="Normal"/>
        <w:ind w:left="567" w:hanging="567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ind w:left="567" w:hanging="567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__________________________________________________</w:t>
      </w:r>
    </w:p>
    <w:p>
      <w:pPr>
        <w:pStyle w:val="Normal"/>
        <w:ind w:firstLine="1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MATHEUS SIMAS FERREIRA – 2º Ten</w:t>
      </w:r>
    </w:p>
    <w:p>
      <w:pPr>
        <w:pStyle w:val="Normal"/>
        <w:ind w:firstLine="1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Membro</w:t>
      </w:r>
    </w:p>
    <w:p>
      <w:pPr>
        <w:pStyle w:val="Normal"/>
        <w:jc w:val="left"/>
        <w:rPr>
          <w:rFonts w:cs="Arial"/>
          <w:sz w:val="24"/>
        </w:rPr>
      </w:pPr>
      <w:r>
        <w:rPr>
          <w:rFonts w:cs="Arial"/>
          <w:sz w:val="24"/>
        </w:rPr>
      </w:r>
    </w:p>
    <w:p>
      <w:pPr>
        <w:pStyle w:val="Normal"/>
        <w:ind w:firstLine="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ind w:firstLine="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ind w:firstLine="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ind w:firstLine="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ind w:firstLine="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ind w:firstLine="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tLeast" w:line="283"/>
        <w:ind w:left="-14" w:hanging="0"/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APROVAÇÃO:</w:t>
      </w:r>
    </w:p>
    <w:p>
      <w:pPr>
        <w:pStyle w:val="Standard"/>
        <w:spacing w:lineRule="atLeast" w:line="283"/>
        <w:ind w:left="-14" w:hanging="0"/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_________________________________________________________________</w:t>
      </w:r>
    </w:p>
    <w:p>
      <w:pPr>
        <w:pStyle w:val="Normal"/>
        <w:ind w:firstLine="1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PABLO LUIZ QUEIROZ FUZARO CHIARINOTTI – TC</w:t>
      </w:r>
    </w:p>
    <w:p>
      <w:pPr>
        <w:pStyle w:val="Normal"/>
        <w:ind w:firstLine="1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Ordenador de Despesas do Hospital Militar de Área de São Paulo</w:t>
      </w:r>
    </w:p>
    <w:p>
      <w:pPr>
        <w:pStyle w:val="Normal"/>
        <w:ind w:firstLine="1"/>
        <w:jc w:val="center"/>
        <w:rPr>
          <w:rFonts w:ascii="Times New Roman" w:hAnsi="Times New Roman" w:cs="Times New Roman"/>
          <w:sz w:val="22"/>
          <w:szCs w:val="22"/>
        </w:rPr>
      </w:pPr>
      <w:r>
        <w:rPr/>
      </w:r>
    </w:p>
    <w:sectPr>
      <w:type w:val="nextPage"/>
      <w:pgSz w:w="11906" w:h="16838"/>
      <w:pgMar w:left="1701" w:right="1701" w:gutter="0" w:header="0" w:top="1134" w:footer="0" w:bottom="851"/>
      <w:pgNumType w:fmt="decimal"/>
      <w:formProt w:val="false"/>
      <w:textDirection w:val="lrTb"/>
      <w:docGrid w:type="default" w:linePitch="312" w:charSpace="573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pStyle w:val="Ttulo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2"/>
    <w:lvlOverride w:ilvl="0"/>
    <w:lvlOverride w:ilvl="1"/>
    <w:lvlOverride w:ilvl="2"/>
    <w:lvlOverride w:ilvl="3"/>
    <w:lvlOverride w:ilvl="4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a00e7"/>
    <w:pPr>
      <w:widowControl w:val="false"/>
      <w:suppressLineNumbers/>
      <w:suppressAutoHyphens w:val="true"/>
      <w:bidi w:val="0"/>
      <w:spacing w:before="0" w:after="0"/>
      <w:jc w:val="both"/>
    </w:pPr>
    <w:rPr>
      <w:rFonts w:ascii="Arial" w:hAnsi="Arial" w:eastAsia="SimSun" w:cs="Mangal"/>
      <w:color w:val="auto"/>
      <w:kern w:val="0"/>
      <w:sz w:val="18"/>
      <w:szCs w:val="24"/>
      <w:lang w:val="pt-BR" w:eastAsia="zh-CN" w:bidi="hi-IN"/>
    </w:rPr>
  </w:style>
  <w:style w:type="paragraph" w:styleId="Ttulo1" w:customStyle="1">
    <w:name w:val="Heading 1"/>
    <w:basedOn w:val="Normal"/>
    <w:next w:val="Normal"/>
    <w:link w:val="Ttulo1Char"/>
    <w:uiPriority w:val="9"/>
    <w:qFormat/>
    <w:rsid w:val="00822398"/>
    <w:pPr>
      <w:keepNext w:val="true"/>
      <w:keepLines/>
      <w:numPr>
        <w:ilvl w:val="0"/>
        <w:numId w:val="1"/>
      </w:numPr>
      <w:spacing w:lineRule="auto" w:line="360"/>
      <w:outlineLvl w:val="0"/>
    </w:pPr>
    <w:rPr>
      <w:rFonts w:ascii="Times New Roman" w:hAnsi="Times New Roman" w:eastAsia="" w:eastAsiaTheme="majorEastAsia"/>
      <w:b/>
      <w:bCs/>
      <w:color w:val="000000" w:themeColor="text1"/>
      <w:sz w:val="24"/>
      <w:szCs w:val="25"/>
    </w:rPr>
  </w:style>
  <w:style w:type="paragraph" w:styleId="Ttulo2" w:customStyle="1">
    <w:name w:val="Heading 2"/>
    <w:basedOn w:val="Ttulo1"/>
    <w:next w:val="Normal"/>
    <w:link w:val="Ttulo2Char"/>
    <w:uiPriority w:val="9"/>
    <w:unhideWhenUsed/>
    <w:qFormat/>
    <w:rsid w:val="00822398"/>
    <w:pPr>
      <w:numPr>
        <w:ilvl w:val="0"/>
        <w:numId w:val="0"/>
      </w:numPr>
      <w:outlineLvl w:val="1"/>
    </w:pPr>
    <w:rPr>
      <w:b w:val="false"/>
      <w:bCs w:val="false"/>
      <w:szCs w:val="23"/>
    </w:rPr>
  </w:style>
  <w:style w:type="paragraph" w:styleId="Ttulo5" w:customStyle="1">
    <w:name w:val="Heading 5"/>
    <w:basedOn w:val="Normal"/>
    <w:next w:val="Normal"/>
    <w:link w:val="Ttulo5Char"/>
    <w:semiHidden/>
    <w:unhideWhenUsed/>
    <w:qFormat/>
    <w:rsid w:val="00db0f28"/>
    <w:pPr>
      <w:keepNext w:val="true"/>
      <w:keepLines/>
      <w:widowControl/>
      <w:suppressAutoHyphens w:val="false"/>
      <w:spacing w:before="200" w:after="0"/>
      <w:jc w:val="left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0"/>
      <w:lang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RodapChar" w:customStyle="1">
    <w:name w:val="Rodapé Char"/>
    <w:basedOn w:val="DefaultParagraphFont"/>
    <w:qFormat/>
    <w:rsid w:val="00822398"/>
    <w:rPr>
      <w:rFonts w:ascii="Arial" w:hAnsi="Arial" w:eastAsia="SimSun" w:cs="Mangal"/>
      <w:sz w:val="18"/>
      <w:szCs w:val="24"/>
      <w:lang w:val="pt-BR" w:eastAsia="zh-CN" w:bidi="hi-IN"/>
    </w:rPr>
  </w:style>
  <w:style w:type="character" w:styleId="CabealhoChar" w:customStyle="1">
    <w:name w:val="Cabeçalho Char"/>
    <w:basedOn w:val="DefaultParagraphFont"/>
    <w:uiPriority w:val="99"/>
    <w:qFormat/>
    <w:rsid w:val="00822398"/>
    <w:rPr>
      <w:rFonts w:ascii="Arial" w:hAnsi="Arial" w:eastAsia="SimSun" w:cs="Mangal"/>
      <w:sz w:val="18"/>
      <w:szCs w:val="24"/>
      <w:lang w:val="pt-BR" w:eastAsia="zh-CN" w:bidi="hi-IN"/>
    </w:rPr>
  </w:style>
  <w:style w:type="character" w:styleId="CorpodetextoChar" w:customStyle="1">
    <w:name w:val="Corpo de texto Char"/>
    <w:basedOn w:val="DefaultParagraphFont"/>
    <w:qFormat/>
    <w:rsid w:val="00822398"/>
    <w:rPr>
      <w:rFonts w:ascii="Times New Roman" w:hAnsi="Times New Roman" w:eastAsia="Arial Unicode MS" w:cs="Tahoma"/>
      <w:kern w:val="2"/>
      <w:sz w:val="24"/>
      <w:szCs w:val="24"/>
      <w:lang w:val="pt-BR" w:eastAsia="zh-CN"/>
    </w:rPr>
  </w:style>
  <w:style w:type="character" w:styleId="Ttulo1Char" w:customStyle="1">
    <w:name w:val="Título 1 Char"/>
    <w:basedOn w:val="DefaultParagraphFont"/>
    <w:uiPriority w:val="9"/>
    <w:qFormat/>
    <w:rsid w:val="00822398"/>
    <w:rPr>
      <w:rFonts w:ascii="Times New Roman" w:hAnsi="Times New Roman" w:eastAsia="" w:cs="Mangal" w:eastAsiaTheme="majorEastAsia"/>
      <w:b/>
      <w:bCs/>
      <w:color w:val="000000" w:themeColor="text1"/>
      <w:sz w:val="24"/>
      <w:szCs w:val="25"/>
      <w:lang w:val="pt-BR" w:eastAsia="zh-CN" w:bidi="hi-IN"/>
    </w:rPr>
  </w:style>
  <w:style w:type="character" w:styleId="Ttulo2Char" w:customStyle="1">
    <w:name w:val="Título 2 Char"/>
    <w:basedOn w:val="DefaultParagraphFont"/>
    <w:uiPriority w:val="9"/>
    <w:qFormat/>
    <w:rsid w:val="00822398"/>
    <w:rPr>
      <w:rFonts w:ascii="Times New Roman" w:hAnsi="Times New Roman" w:eastAsia="" w:cs="Mangal" w:eastAsiaTheme="majorEastAsia"/>
      <w:color w:val="000000" w:themeColor="text1"/>
      <w:sz w:val="24"/>
      <w:szCs w:val="23"/>
      <w:lang w:val="pt-BR" w:eastAsia="zh-CN" w:bidi="hi-IN"/>
    </w:rPr>
  </w:style>
  <w:style w:type="character" w:styleId="Ttulo5Char" w:customStyle="1">
    <w:name w:val="Título 5 Char"/>
    <w:basedOn w:val="DefaultParagraphFont"/>
    <w:semiHidden/>
    <w:qFormat/>
    <w:rsid w:val="00db0f28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0"/>
      <w:szCs w:val="24"/>
      <w:lang w:val="pt-BR" w:eastAsia="pt-BR"/>
    </w:rPr>
  </w:style>
  <w:style w:type="character" w:styleId="PargrafodaListaChar" w:customStyle="1">
    <w:name w:val="Parágrafo da Lista Char"/>
    <w:link w:val="ListParagraph"/>
    <w:uiPriority w:val="34"/>
    <w:qFormat/>
    <w:locked/>
    <w:rsid w:val="00e5032f"/>
    <w:rPr>
      <w:rFonts w:ascii="Calibri" w:hAnsi="Calibri" w:eastAsia="Calibri" w:cs="Times New Roman"/>
    </w:rPr>
  </w:style>
  <w:style w:type="character" w:styleId="Strong">
    <w:name w:val="Strong"/>
    <w:uiPriority w:val="22"/>
    <w:qFormat/>
    <w:rsid w:val="00542b07"/>
    <w:rPr>
      <w:b/>
      <w:bCs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9343f5"/>
    <w:rPr>
      <w:rFonts w:ascii="Segoe UI" w:hAnsi="Segoe UI" w:eastAsia="SimSun" w:cs="Mangal"/>
      <w:sz w:val="18"/>
      <w:szCs w:val="16"/>
      <w:lang w:val="pt-BR" w:eastAsia="zh-CN" w:bidi="hi-IN"/>
    </w:rPr>
  </w:style>
  <w:style w:type="character" w:styleId="Uicelldata" w:customStyle="1">
    <w:name w:val="ui-cell-data"/>
    <w:basedOn w:val="DefaultParagraphFont"/>
    <w:qFormat/>
    <w:rsid w:val="001d5c55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822398"/>
    <w:pPr>
      <w:spacing w:before="0" w:after="120"/>
      <w:jc w:val="left"/>
      <w:textAlignment w:val="baseline"/>
    </w:pPr>
    <w:rPr>
      <w:rFonts w:ascii="Times New Roman" w:hAnsi="Times New Roman" w:eastAsia="Arial Unicode MS" w:cs="Tahoma"/>
      <w:kern w:val="2"/>
      <w:sz w:val="24"/>
      <w:lang w:bidi="ar-SA"/>
    </w:rPr>
  </w:style>
  <w:style w:type="paragraph" w:styleId="Lista">
    <w:name w:val="List"/>
    <w:basedOn w:val="Corpodotexto"/>
    <w:rsid w:val="00ed7d8d"/>
    <w:pPr/>
    <w:rPr>
      <w:rFonts w:cs="Lucida Sans"/>
    </w:rPr>
  </w:style>
  <w:style w:type="paragraph" w:styleId="Legenda" w:customStyle="1">
    <w:name w:val="Caption"/>
    <w:basedOn w:val="Normal"/>
    <w:qFormat/>
    <w:rsid w:val="00ed7d8d"/>
    <w:pPr>
      <w:spacing w:before="120" w:after="120"/>
    </w:pPr>
    <w:rPr>
      <w:rFonts w:cs="Lucida Sans"/>
      <w:i/>
      <w:iCs/>
      <w:sz w:val="24"/>
    </w:rPr>
  </w:style>
  <w:style w:type="paragraph" w:styleId="Ndice" w:customStyle="1">
    <w:name w:val="Índice"/>
    <w:basedOn w:val="Normal"/>
    <w:qFormat/>
    <w:rsid w:val="00ed7d8d"/>
    <w:pPr/>
    <w:rPr>
      <w:rFonts w:cs="Lucida Sans"/>
    </w:rPr>
  </w:style>
  <w:style w:type="paragraph" w:styleId="Ttulododocumento">
    <w:name w:val="Title"/>
    <w:basedOn w:val="Normal"/>
    <w:next w:val="Corpodotexto"/>
    <w:qFormat/>
    <w:rsid w:val="00ed7d8d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bealhoeRodap" w:customStyle="1">
    <w:name w:val="Cabeçalho e Rodapé"/>
    <w:basedOn w:val="Normal"/>
    <w:qFormat/>
    <w:rsid w:val="00ed7d8d"/>
    <w:pPr/>
    <w:rPr/>
  </w:style>
  <w:style w:type="paragraph" w:styleId="Rodap" w:customStyle="1">
    <w:name w:val="Footer"/>
    <w:basedOn w:val="Normal"/>
    <w:link w:val="RodapChar"/>
    <w:rsid w:val="00822398"/>
    <w:pPr>
      <w:tabs>
        <w:tab w:val="clear" w:pos="708"/>
        <w:tab w:val="center" w:pos="4818" w:leader="none"/>
        <w:tab w:val="right" w:pos="9637" w:leader="none"/>
      </w:tabs>
    </w:pPr>
    <w:rPr/>
  </w:style>
  <w:style w:type="paragraph" w:styleId="Cabealho" w:customStyle="1">
    <w:name w:val="Header"/>
    <w:basedOn w:val="Normal"/>
    <w:link w:val="CabealhoChar"/>
    <w:uiPriority w:val="99"/>
    <w:unhideWhenUsed/>
    <w:rsid w:val="00822398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9f2e2b"/>
    <w:pPr>
      <w:jc w:val="center"/>
      <w:textAlignment w:val="center"/>
    </w:pPr>
    <w:rPr/>
  </w:style>
  <w:style w:type="paragraph" w:styleId="Standard" w:customStyle="1">
    <w:name w:val="Standard"/>
    <w:qFormat/>
    <w:rsid w:val="00c4000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ListParagraph">
    <w:name w:val="List Paragraph"/>
    <w:basedOn w:val="Normal"/>
    <w:link w:val="PargrafodaListaChar"/>
    <w:uiPriority w:val="34"/>
    <w:qFormat/>
    <w:rsid w:val="00e5032f"/>
    <w:pPr>
      <w:widowControl/>
      <w:suppressAutoHyphens w:val="false"/>
      <w:spacing w:lineRule="auto" w:line="276" w:before="240" w:after="200"/>
      <w:ind w:left="720" w:hanging="0"/>
      <w:contextualSpacing/>
    </w:pPr>
    <w:rPr>
      <w:rFonts w:ascii="Calibri" w:hAnsi="Calibri" w:eastAsia="Calibri" w:cs="Times New Roman"/>
      <w:sz w:val="22"/>
      <w:szCs w:val="22"/>
      <w:lang w:eastAsia="en-US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9343f5"/>
    <w:pPr/>
    <w:rPr>
      <w:rFonts w:ascii="Segoe UI" w:hAnsi="Segoe UI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Application>LibreOffice/7.4.0.3$Windows_X86_64 LibreOffice_project/f85e47c08ddd19c015c0114a68350214f7066f5a</Application>
  <AppVersion>15.0000</AppVersion>
  <Pages>3</Pages>
  <Words>625</Words>
  <Characters>3508</Characters>
  <CharactersWithSpaces>4084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2023-10-04T16:46:00Z</dcterms:created>
  <dc:creator>larissa</dc:creator>
  <dc:description/>
  <dc:language>pt-BR</dc:language>
  <cp:lastModifiedBy/>
  <cp:lastPrinted>2023-07-28T10:04:00Z</cp:lastPrinted>
  <dcterms:modified xsi:type="dcterms:W3CDTF">2024-03-08T11:24:23Z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